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B46" w:rsidRPr="00F659A7" w:rsidRDefault="00341B46" w:rsidP="00341B46">
      <w:pPr>
        <w:spacing w:line="540" w:lineRule="exact"/>
        <w:ind w:right="1120" w:firstLine="560"/>
        <w:rPr>
          <w:rFonts w:ascii="仿宋" w:eastAsia="仿宋" w:hAnsi="仿宋"/>
          <w:sz w:val="28"/>
          <w:szCs w:val="28"/>
        </w:rPr>
      </w:pPr>
      <w:r w:rsidRPr="00F659A7">
        <w:rPr>
          <w:rFonts w:ascii="仿宋" w:eastAsia="仿宋" w:hAnsi="仿宋" w:hint="eastAsia"/>
          <w:sz w:val="28"/>
          <w:szCs w:val="28"/>
        </w:rPr>
        <w:t>附件1：</w:t>
      </w:r>
    </w:p>
    <w:p w:rsidR="00341B46" w:rsidRPr="00F659A7" w:rsidRDefault="00341B46" w:rsidP="00341B46">
      <w:pPr>
        <w:pStyle w:val="a4"/>
        <w:spacing w:before="0" w:beforeAutospacing="0" w:after="0" w:afterAutospacing="0" w:line="240" w:lineRule="atLeast"/>
        <w:ind w:firstLine="602"/>
        <w:jc w:val="center"/>
        <w:rPr>
          <w:rFonts w:ascii="黑体" w:eastAsia="黑体" w:hAnsi="黑体" w:cs="Times New Roman"/>
          <w:b/>
          <w:sz w:val="30"/>
          <w:szCs w:val="30"/>
        </w:rPr>
      </w:pPr>
      <w:r w:rsidRPr="00F659A7">
        <w:rPr>
          <w:rFonts w:ascii="黑体" w:eastAsia="黑体" w:hAnsi="黑体" w:cs="Times New Roman" w:hint="eastAsia"/>
          <w:b/>
          <w:sz w:val="30"/>
          <w:szCs w:val="30"/>
        </w:rPr>
        <w:t>上海市课外校外教育科学研究课题指南</w:t>
      </w:r>
    </w:p>
    <w:p w:rsidR="00341B46" w:rsidRPr="00F659A7" w:rsidRDefault="00341B46" w:rsidP="00341B46">
      <w:pPr>
        <w:ind w:firstLine="560"/>
        <w:jc w:val="center"/>
        <w:rPr>
          <w:rFonts w:ascii="仿宋" w:eastAsia="仿宋" w:hAnsi="仿宋"/>
          <w:sz w:val="28"/>
          <w:szCs w:val="28"/>
        </w:rPr>
      </w:pPr>
    </w:p>
    <w:p w:rsidR="00341B46" w:rsidRPr="00F659A7" w:rsidRDefault="00341B46" w:rsidP="00341B46">
      <w:pPr>
        <w:pStyle w:val="a5"/>
        <w:ind w:left="562" w:firstLineChars="0" w:firstLine="0"/>
        <w:rPr>
          <w:rFonts w:ascii="仿宋" w:eastAsia="仿宋" w:hAnsi="仿宋"/>
          <w:b/>
          <w:kern w:val="0"/>
          <w:sz w:val="28"/>
          <w:szCs w:val="28"/>
        </w:rPr>
      </w:pPr>
      <w:r>
        <w:rPr>
          <w:rFonts w:ascii="仿宋" w:eastAsia="仿宋" w:hAnsi="仿宋" w:hint="eastAsia"/>
          <w:b/>
          <w:kern w:val="0"/>
          <w:sz w:val="28"/>
          <w:szCs w:val="28"/>
        </w:rPr>
        <w:t>（一）</w:t>
      </w:r>
      <w:r w:rsidRPr="00F659A7">
        <w:rPr>
          <w:rFonts w:ascii="仿宋" w:eastAsia="仿宋" w:hAnsi="仿宋" w:hint="eastAsia"/>
          <w:b/>
          <w:kern w:val="0"/>
          <w:sz w:val="28"/>
          <w:szCs w:val="28"/>
        </w:rPr>
        <w:t>基础理论研究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1．人工智能时代校外</w:t>
      </w:r>
      <w:r w:rsidRPr="00F659A7">
        <w:rPr>
          <w:rFonts w:ascii="仿宋" w:eastAsia="仿宋" w:hAnsi="仿宋"/>
          <w:kern w:val="0"/>
          <w:sz w:val="28"/>
          <w:szCs w:val="28"/>
        </w:rPr>
        <w:t>教育的功能定位及发展趋势研究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2．</w:t>
      </w:r>
      <w:r w:rsidRPr="00F659A7">
        <w:rPr>
          <w:rFonts w:ascii="仿宋" w:eastAsia="仿宋" w:hAnsi="仿宋"/>
          <w:kern w:val="0"/>
          <w:sz w:val="28"/>
          <w:szCs w:val="28"/>
        </w:rPr>
        <w:t>深化校外教育课程教学改革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，转变校外教育</w:t>
      </w:r>
      <w:r w:rsidRPr="00F659A7">
        <w:rPr>
          <w:rFonts w:ascii="仿宋" w:eastAsia="仿宋" w:hAnsi="仿宋"/>
          <w:kern w:val="0"/>
          <w:sz w:val="28"/>
          <w:szCs w:val="28"/>
        </w:rPr>
        <w:t>育人方式研究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3．中小学“新课标新教材”对课外校外教育实践影响的研究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4．校外教育落实“中小学校外实践教育”政策的机制与模式研究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5．</w:t>
      </w:r>
      <w:r w:rsidRPr="00F659A7">
        <w:rPr>
          <w:rFonts w:ascii="仿宋" w:eastAsia="仿宋" w:hAnsi="仿宋"/>
          <w:kern w:val="0"/>
          <w:sz w:val="28"/>
          <w:szCs w:val="28"/>
        </w:rPr>
        <w:t>教育均衡发展背景下的校外教育扩</w:t>
      </w:r>
      <w:proofErr w:type="gramStart"/>
      <w:r w:rsidRPr="00F659A7">
        <w:rPr>
          <w:rFonts w:ascii="仿宋" w:eastAsia="仿宋" w:hAnsi="仿宋"/>
          <w:kern w:val="0"/>
          <w:sz w:val="28"/>
          <w:szCs w:val="28"/>
        </w:rPr>
        <w:t>优提质行动</w:t>
      </w:r>
      <w:proofErr w:type="gramEnd"/>
      <w:r w:rsidRPr="00F659A7">
        <w:rPr>
          <w:rFonts w:ascii="仿宋" w:eastAsia="仿宋" w:hAnsi="仿宋"/>
          <w:kern w:val="0"/>
          <w:sz w:val="28"/>
          <w:szCs w:val="28"/>
        </w:rPr>
        <w:t>研究</w:t>
      </w:r>
    </w:p>
    <w:p w:rsidR="00341B46" w:rsidRDefault="00341B46" w:rsidP="00341B46">
      <w:pPr>
        <w:tabs>
          <w:tab w:val="left" w:pos="0"/>
        </w:tabs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6．校外教育与学校教育、家庭教育、社区教育的有效衔接</w:t>
      </w:r>
    </w:p>
    <w:p w:rsidR="00341B46" w:rsidRDefault="00341B46" w:rsidP="00341B46">
      <w:pPr>
        <w:tabs>
          <w:tab w:val="left" w:pos="0"/>
        </w:tabs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7．校外教育</w:t>
      </w:r>
      <w:r w:rsidRPr="00F659A7">
        <w:rPr>
          <w:rFonts w:ascii="仿宋" w:eastAsia="仿宋" w:hAnsi="仿宋"/>
          <w:kern w:val="0"/>
          <w:sz w:val="28"/>
          <w:szCs w:val="28"/>
        </w:rPr>
        <w:t>艺术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、</w:t>
      </w:r>
      <w:r w:rsidRPr="00F659A7">
        <w:rPr>
          <w:rFonts w:ascii="仿宋" w:eastAsia="仿宋" w:hAnsi="仿宋"/>
          <w:kern w:val="0"/>
          <w:sz w:val="28"/>
          <w:szCs w:val="28"/>
        </w:rPr>
        <w:t>体育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“</w:t>
      </w:r>
      <w:r w:rsidRPr="00F659A7">
        <w:rPr>
          <w:rFonts w:ascii="仿宋" w:eastAsia="仿宋" w:hAnsi="仿宋"/>
          <w:kern w:val="0"/>
          <w:sz w:val="28"/>
          <w:szCs w:val="28"/>
        </w:rPr>
        <w:t>一条龙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”</w:t>
      </w:r>
      <w:r w:rsidRPr="00F659A7">
        <w:rPr>
          <w:rFonts w:ascii="仿宋" w:eastAsia="仿宋" w:hAnsi="仿宋"/>
          <w:kern w:val="0"/>
          <w:sz w:val="28"/>
          <w:szCs w:val="28"/>
        </w:rPr>
        <w:t>人才培养体系建设研究</w:t>
      </w:r>
    </w:p>
    <w:p w:rsidR="00341B46" w:rsidRPr="00F659A7" w:rsidRDefault="00341B46" w:rsidP="00341B46">
      <w:pPr>
        <w:tabs>
          <w:tab w:val="left" w:pos="0"/>
        </w:tabs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8．</w:t>
      </w:r>
      <w:r w:rsidRPr="00F659A7">
        <w:rPr>
          <w:rFonts w:ascii="仿宋" w:eastAsia="仿宋" w:hAnsi="仿宋"/>
          <w:kern w:val="0"/>
          <w:sz w:val="28"/>
          <w:szCs w:val="28"/>
        </w:rPr>
        <w:t>大科学教育背景下的科技创新后备人才培育研究</w:t>
      </w:r>
    </w:p>
    <w:p w:rsidR="00341B46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9．数字教育时代的校外教育课程体系</w:t>
      </w:r>
      <w:r w:rsidRPr="00F659A7">
        <w:rPr>
          <w:rFonts w:ascii="仿宋" w:eastAsia="仿宋" w:hAnsi="仿宋"/>
          <w:kern w:val="0"/>
          <w:sz w:val="28"/>
          <w:szCs w:val="28"/>
        </w:rPr>
        <w:t>建设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10．</w:t>
      </w:r>
      <w:r w:rsidRPr="00F659A7">
        <w:rPr>
          <w:rFonts w:ascii="仿宋" w:eastAsia="仿宋" w:hAnsi="仿宋"/>
          <w:kern w:val="0"/>
          <w:sz w:val="28"/>
          <w:szCs w:val="28"/>
        </w:rPr>
        <w:t>素质教育资源枢纽建设研究</w:t>
      </w:r>
    </w:p>
    <w:p w:rsidR="00341B46" w:rsidRPr="00F659A7" w:rsidRDefault="00341B46" w:rsidP="00341B46">
      <w:pPr>
        <w:pStyle w:val="a5"/>
        <w:ind w:left="562" w:firstLineChars="0" w:firstLine="0"/>
        <w:rPr>
          <w:rFonts w:ascii="仿宋" w:eastAsia="仿宋" w:hAnsi="仿宋"/>
          <w:b/>
          <w:kern w:val="0"/>
          <w:sz w:val="28"/>
          <w:szCs w:val="28"/>
        </w:rPr>
      </w:pPr>
      <w:r>
        <w:rPr>
          <w:rFonts w:ascii="仿宋" w:eastAsia="仿宋" w:hAnsi="仿宋" w:hint="eastAsia"/>
          <w:b/>
          <w:kern w:val="0"/>
          <w:sz w:val="28"/>
          <w:szCs w:val="28"/>
        </w:rPr>
        <w:t>（二</w:t>
      </w:r>
      <w:bookmarkStart w:id="0" w:name="_GoBack"/>
      <w:bookmarkEnd w:id="0"/>
      <w:r>
        <w:rPr>
          <w:rFonts w:ascii="仿宋" w:eastAsia="仿宋" w:hAnsi="仿宋" w:hint="eastAsia"/>
          <w:b/>
          <w:kern w:val="0"/>
          <w:sz w:val="28"/>
          <w:szCs w:val="28"/>
        </w:rPr>
        <w:t>）</w:t>
      </w:r>
      <w:r w:rsidRPr="00F659A7">
        <w:rPr>
          <w:rFonts w:ascii="仿宋" w:eastAsia="仿宋" w:hAnsi="仿宋" w:hint="eastAsia"/>
          <w:b/>
          <w:kern w:val="0"/>
          <w:sz w:val="28"/>
          <w:szCs w:val="28"/>
        </w:rPr>
        <w:t>课外校外教育活动项目（课程）建设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11．中小学课后服务课程开发研究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12．社会场馆教育资源的综合开发研究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13. 中华优秀传统文化教育活动项目的创新研究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14. 人工智能赋能课外校外教育课程开发研究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15. 中小学生社团建设与社团活动开发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16. 校外教育活动</w:t>
      </w:r>
      <w:r w:rsidRPr="00F659A7">
        <w:rPr>
          <w:rFonts w:ascii="仿宋" w:eastAsia="仿宋" w:hAnsi="仿宋"/>
          <w:kern w:val="0"/>
          <w:sz w:val="28"/>
          <w:szCs w:val="28"/>
        </w:rPr>
        <w:t>课程评价指标研究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lastRenderedPageBreak/>
        <w:t>17. 区域科技、艺术、体育、卫生等教育开展现状与推进策略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18. 学校德育、科技、艺术、体育、卫生等特色项目探索研究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19. 青少年</w:t>
      </w:r>
      <w:r w:rsidRPr="00F659A7">
        <w:rPr>
          <w:rFonts w:ascii="仿宋" w:eastAsia="仿宋" w:hAnsi="仿宋"/>
          <w:kern w:val="0"/>
          <w:sz w:val="28"/>
          <w:szCs w:val="28"/>
        </w:rPr>
        <w:t>校外安全教育课程开发研究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20. 课外校外</w:t>
      </w:r>
      <w:proofErr w:type="gramStart"/>
      <w:r w:rsidRPr="00F659A7">
        <w:rPr>
          <w:rFonts w:ascii="仿宋" w:eastAsia="仿宋" w:hAnsi="仿宋" w:hint="eastAsia"/>
          <w:kern w:val="0"/>
          <w:sz w:val="28"/>
          <w:szCs w:val="28"/>
        </w:rPr>
        <w:t>教育线</w:t>
      </w:r>
      <w:proofErr w:type="gramEnd"/>
      <w:r w:rsidRPr="00F659A7">
        <w:rPr>
          <w:rFonts w:ascii="仿宋" w:eastAsia="仿宋" w:hAnsi="仿宋" w:hint="eastAsia"/>
          <w:kern w:val="0"/>
          <w:sz w:val="28"/>
          <w:szCs w:val="28"/>
        </w:rPr>
        <w:t>上线下融合课程的开发与实施</w:t>
      </w:r>
    </w:p>
    <w:p w:rsidR="00341B46" w:rsidRPr="00F659A7" w:rsidRDefault="00341B46" w:rsidP="00341B46">
      <w:pPr>
        <w:ind w:firstLineChars="200" w:firstLine="562"/>
        <w:rPr>
          <w:rFonts w:ascii="仿宋" w:eastAsia="仿宋" w:hAnsi="仿宋"/>
          <w:b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b/>
          <w:kern w:val="0"/>
          <w:sz w:val="28"/>
          <w:szCs w:val="28"/>
        </w:rPr>
        <w:t>（三）课外校外教育活动实施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21. 校外教育活动落实立德树人根本任务的途径、方式、内容研究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22. 五育并举，提高课外校外教育活动</w:t>
      </w:r>
      <w:proofErr w:type="gramStart"/>
      <w:r w:rsidRPr="00F659A7">
        <w:rPr>
          <w:rFonts w:ascii="仿宋" w:eastAsia="仿宋" w:hAnsi="仿宋" w:hint="eastAsia"/>
          <w:kern w:val="0"/>
          <w:sz w:val="28"/>
          <w:szCs w:val="28"/>
        </w:rPr>
        <w:t>育人成效</w:t>
      </w:r>
      <w:proofErr w:type="gramEnd"/>
      <w:r w:rsidRPr="00F659A7">
        <w:rPr>
          <w:rFonts w:ascii="仿宋" w:eastAsia="仿宋" w:hAnsi="仿宋" w:hint="eastAsia"/>
          <w:kern w:val="0"/>
          <w:sz w:val="28"/>
          <w:szCs w:val="28"/>
        </w:rPr>
        <w:t>的实践研究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23．“四史教育”融入课外校外教育活动的实践研究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24．课外校外教育活动设计模式及案例的研究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25．中小学赛事活动中的学生发展性评价模式研究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26．课外校外教育活动中教师教学指导策略研究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27．课外校外教育活动培养学生实践能力与创新精神的研究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28．运用人工智能技术开展课外校外教育活动的案例研究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29．校内外协作提升中小学课后服务教学质量的实践研究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30．</w:t>
      </w:r>
      <w:r w:rsidRPr="00F659A7">
        <w:rPr>
          <w:rFonts w:ascii="仿宋" w:eastAsia="仿宋" w:hAnsi="仿宋"/>
          <w:kern w:val="0"/>
          <w:sz w:val="28"/>
          <w:szCs w:val="28"/>
        </w:rPr>
        <w:t>利用红色资源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，开展红色</w:t>
      </w:r>
      <w:proofErr w:type="gramStart"/>
      <w:r w:rsidRPr="00F659A7">
        <w:rPr>
          <w:rFonts w:ascii="仿宋" w:eastAsia="仿宋" w:hAnsi="仿宋" w:hint="eastAsia"/>
          <w:kern w:val="0"/>
          <w:sz w:val="28"/>
          <w:szCs w:val="28"/>
        </w:rPr>
        <w:t>研</w:t>
      </w:r>
      <w:proofErr w:type="gramEnd"/>
      <w:r w:rsidRPr="00F659A7">
        <w:rPr>
          <w:rFonts w:ascii="仿宋" w:eastAsia="仿宋" w:hAnsi="仿宋" w:hint="eastAsia"/>
          <w:kern w:val="0"/>
          <w:sz w:val="28"/>
          <w:szCs w:val="28"/>
        </w:rPr>
        <w:t>学活动的实践研究</w:t>
      </w:r>
    </w:p>
    <w:p w:rsidR="00341B46" w:rsidRPr="00F659A7" w:rsidRDefault="00341B46" w:rsidP="00341B46">
      <w:pPr>
        <w:ind w:firstLineChars="200" w:firstLine="562"/>
        <w:rPr>
          <w:rFonts w:ascii="仿宋" w:eastAsia="仿宋" w:hAnsi="仿宋"/>
          <w:b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b/>
          <w:kern w:val="0"/>
          <w:sz w:val="28"/>
          <w:szCs w:val="28"/>
        </w:rPr>
        <w:t>（四）校外教育管理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31．校外教育单位公共安全</w:t>
      </w:r>
      <w:r w:rsidRPr="00F659A7">
        <w:rPr>
          <w:rFonts w:ascii="仿宋" w:eastAsia="仿宋" w:hAnsi="仿宋"/>
          <w:kern w:val="0"/>
          <w:sz w:val="28"/>
          <w:szCs w:val="28"/>
        </w:rPr>
        <w:t>危机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管理研究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32．数字化赋能的校外</w:t>
      </w:r>
      <w:proofErr w:type="gramStart"/>
      <w:r w:rsidRPr="00F659A7">
        <w:rPr>
          <w:rFonts w:ascii="仿宋" w:eastAsia="仿宋" w:hAnsi="仿宋" w:hint="eastAsia"/>
          <w:kern w:val="0"/>
          <w:sz w:val="28"/>
          <w:szCs w:val="28"/>
        </w:rPr>
        <w:t>数智治理</w:t>
      </w:r>
      <w:proofErr w:type="gramEnd"/>
      <w:r w:rsidRPr="00F659A7">
        <w:rPr>
          <w:rFonts w:ascii="仿宋" w:eastAsia="仿宋" w:hAnsi="仿宋" w:hint="eastAsia"/>
          <w:kern w:val="0"/>
          <w:sz w:val="28"/>
          <w:szCs w:val="28"/>
        </w:rPr>
        <w:t>平台研究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33．新形势下校外教育单位转型发展规划研究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34．青少年校外科技（艺术体育）教育的现状及发展对策研究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35．提升校外教育教研组教研实效的研究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lastRenderedPageBreak/>
        <w:t>36．乡村和城市学校少年宫的运行方式研究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37．科技、艺术、体育特长生选拔与培养模式的研究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38．校外教育机构干部队伍梯队建设研究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39．校外</w:t>
      </w:r>
      <w:r w:rsidRPr="00F659A7">
        <w:rPr>
          <w:rFonts w:ascii="仿宋" w:eastAsia="仿宋" w:hAnsi="仿宋"/>
          <w:kern w:val="0"/>
          <w:sz w:val="28"/>
          <w:szCs w:val="28"/>
        </w:rPr>
        <w:t>教育活动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品牌项目培育推广研究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40．校外教育品牌</w:t>
      </w:r>
      <w:r w:rsidRPr="00F659A7">
        <w:rPr>
          <w:rFonts w:ascii="仿宋" w:eastAsia="仿宋" w:hAnsi="仿宋"/>
          <w:kern w:val="0"/>
          <w:sz w:val="28"/>
          <w:szCs w:val="28"/>
        </w:rPr>
        <w:t>社团</w:t>
      </w:r>
      <w:r w:rsidRPr="00F659A7">
        <w:rPr>
          <w:rFonts w:ascii="仿宋" w:eastAsia="仿宋" w:hAnsi="仿宋" w:hint="eastAsia"/>
          <w:kern w:val="0"/>
          <w:sz w:val="28"/>
          <w:szCs w:val="28"/>
        </w:rPr>
        <w:t>人才选拔和孵化、培养和跟踪机制的研究</w:t>
      </w:r>
    </w:p>
    <w:p w:rsidR="00341B46" w:rsidRPr="00F659A7" w:rsidRDefault="00341B46" w:rsidP="00341B46">
      <w:pPr>
        <w:ind w:firstLineChars="200" w:firstLine="562"/>
        <w:rPr>
          <w:rFonts w:ascii="仿宋" w:eastAsia="仿宋" w:hAnsi="仿宋"/>
          <w:b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b/>
          <w:kern w:val="0"/>
          <w:sz w:val="28"/>
          <w:szCs w:val="28"/>
        </w:rPr>
        <w:t>(五)师资队伍建设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41．校外教育新教师培养模式的研究与实践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42．校外教育骨干教师的培养与激励机制研究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43．教育科研引领课外校外教师专业发展研究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44．数字化时代的校外教师专业发展模式研究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45．一专多能的校外教育教师培育体系研究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46．校外教育教师培训需求调查研究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47．</w:t>
      </w:r>
      <w:r w:rsidRPr="00F659A7">
        <w:rPr>
          <w:rFonts w:ascii="仿宋" w:eastAsia="仿宋" w:hAnsi="仿宋"/>
          <w:kern w:val="0"/>
          <w:sz w:val="28"/>
          <w:szCs w:val="28"/>
        </w:rPr>
        <w:t>教育家精神引领下的校外教师发展评价体系研究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48．校外教育教师个性化发展培训模式及策略研究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49．校外教育教师专业发展培训课程体系建设研究</w:t>
      </w:r>
    </w:p>
    <w:p w:rsidR="00341B46" w:rsidRPr="00F659A7" w:rsidRDefault="00341B46" w:rsidP="00341B46">
      <w:pPr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F659A7">
        <w:rPr>
          <w:rFonts w:ascii="仿宋" w:eastAsia="仿宋" w:hAnsi="仿宋" w:hint="eastAsia"/>
          <w:kern w:val="0"/>
          <w:sz w:val="28"/>
          <w:szCs w:val="28"/>
        </w:rPr>
        <w:t>50．校外教育教师职业生涯规划研究</w:t>
      </w:r>
    </w:p>
    <w:p w:rsidR="008864E5" w:rsidRPr="00341B46" w:rsidRDefault="00341B46">
      <w:pPr>
        <w:ind w:firstLine="420"/>
      </w:pPr>
    </w:p>
    <w:sectPr w:rsidR="008864E5" w:rsidRPr="00341B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B7B57"/>
    <w:multiLevelType w:val="multilevel"/>
    <w:tmpl w:val="1D4B7B57"/>
    <w:lvl w:ilvl="0">
      <w:start w:val="1"/>
      <w:numFmt w:val="japaneseCounting"/>
      <w:lvlText w:val="(%1)"/>
      <w:lvlJc w:val="left"/>
      <w:pPr>
        <w:ind w:left="128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2" w:hanging="420"/>
      </w:pPr>
    </w:lvl>
    <w:lvl w:ilvl="2">
      <w:start w:val="1"/>
      <w:numFmt w:val="lowerRoman"/>
      <w:lvlText w:val="%3."/>
      <w:lvlJc w:val="right"/>
      <w:pPr>
        <w:ind w:left="1822" w:hanging="420"/>
      </w:pPr>
    </w:lvl>
    <w:lvl w:ilvl="3">
      <w:start w:val="1"/>
      <w:numFmt w:val="decimal"/>
      <w:lvlText w:val="%4."/>
      <w:lvlJc w:val="left"/>
      <w:pPr>
        <w:ind w:left="2242" w:hanging="420"/>
      </w:pPr>
    </w:lvl>
    <w:lvl w:ilvl="4">
      <w:start w:val="1"/>
      <w:numFmt w:val="lowerLetter"/>
      <w:lvlText w:val="%5)"/>
      <w:lvlJc w:val="left"/>
      <w:pPr>
        <w:ind w:left="2662" w:hanging="420"/>
      </w:pPr>
    </w:lvl>
    <w:lvl w:ilvl="5">
      <w:start w:val="1"/>
      <w:numFmt w:val="lowerRoman"/>
      <w:lvlText w:val="%6."/>
      <w:lvlJc w:val="right"/>
      <w:pPr>
        <w:ind w:left="3082" w:hanging="420"/>
      </w:pPr>
    </w:lvl>
    <w:lvl w:ilvl="6">
      <w:start w:val="1"/>
      <w:numFmt w:val="decimal"/>
      <w:lvlText w:val="%7."/>
      <w:lvlJc w:val="left"/>
      <w:pPr>
        <w:ind w:left="3502" w:hanging="420"/>
      </w:pPr>
    </w:lvl>
    <w:lvl w:ilvl="7">
      <w:start w:val="1"/>
      <w:numFmt w:val="lowerLetter"/>
      <w:lvlText w:val="%8)"/>
      <w:lvlJc w:val="left"/>
      <w:pPr>
        <w:ind w:left="3922" w:hanging="420"/>
      </w:pPr>
    </w:lvl>
    <w:lvl w:ilvl="8">
      <w:start w:val="1"/>
      <w:numFmt w:val="lowerRoman"/>
      <w:lvlText w:val="%9."/>
      <w:lvlJc w:val="right"/>
      <w:pPr>
        <w:ind w:left="434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B46"/>
    <w:rsid w:val="001145C5"/>
    <w:rsid w:val="00341B46"/>
    <w:rsid w:val="00BA027E"/>
    <w:rsid w:val="00DC6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8F738F-17CC-4F9E-BE2F-97133167E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1B4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DC6402"/>
    <w:pPr>
      <w:keepNext/>
      <w:keepLines/>
      <w:spacing w:before="240"/>
      <w:outlineLvl w:val="0"/>
    </w:pPr>
    <w:rPr>
      <w:b/>
      <w:bCs/>
      <w:kern w:val="44"/>
      <w:sz w:val="2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DC6402"/>
    <w:pPr>
      <w:keepNext/>
      <w:keepLines/>
      <w:spacing w:before="240" w:after="120"/>
      <w:outlineLvl w:val="1"/>
    </w:pPr>
    <w:rPr>
      <w:rFonts w:asciiTheme="majorHAnsi" w:eastAsiaTheme="majorEastAsia" w:hAnsiTheme="majorHAnsi" w:cstheme="majorBidi"/>
      <w:b/>
      <w:bCs/>
      <w:sz w:val="24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DC6402"/>
    <w:pPr>
      <w:keepNext/>
      <w:keepLines/>
      <w:spacing w:before="120" w:after="12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DC6402"/>
    <w:pPr>
      <w:keepNext/>
      <w:keepLines/>
      <w:outlineLvl w:val="3"/>
    </w:pPr>
    <w:rPr>
      <w:rFonts w:asciiTheme="majorHAnsi" w:hAnsiTheme="majorHAnsi" w:cstheme="majorBidi"/>
      <w:b/>
      <w:bCs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DC6402"/>
    <w:pPr>
      <w:keepNext/>
      <w:keepLines/>
      <w:outlineLvl w:val="4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C6402"/>
    <w:rPr>
      <w:b/>
      <w:bCs/>
      <w:kern w:val="44"/>
      <w:sz w:val="24"/>
      <w:szCs w:val="44"/>
    </w:rPr>
  </w:style>
  <w:style w:type="character" w:customStyle="1" w:styleId="2Char">
    <w:name w:val="标题 2 Char"/>
    <w:basedOn w:val="a0"/>
    <w:link w:val="2"/>
    <w:uiPriority w:val="9"/>
    <w:rsid w:val="00DC6402"/>
    <w:rPr>
      <w:rFonts w:asciiTheme="majorHAnsi" w:eastAsiaTheme="majorEastAsia" w:hAnsiTheme="majorHAnsi" w:cstheme="majorBidi"/>
      <w:b/>
      <w:bCs/>
      <w:sz w:val="24"/>
      <w:szCs w:val="32"/>
    </w:rPr>
  </w:style>
  <w:style w:type="paragraph" w:styleId="a3">
    <w:name w:val="Title"/>
    <w:basedOn w:val="a"/>
    <w:next w:val="a"/>
    <w:link w:val="Char"/>
    <w:uiPriority w:val="10"/>
    <w:qFormat/>
    <w:rsid w:val="00DC6402"/>
    <w:pPr>
      <w:spacing w:before="240" w:after="360"/>
      <w:jc w:val="center"/>
      <w:outlineLvl w:val="0"/>
    </w:pPr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Char">
    <w:name w:val="标题 Char"/>
    <w:basedOn w:val="a0"/>
    <w:link w:val="a3"/>
    <w:uiPriority w:val="10"/>
    <w:rsid w:val="00DC6402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uiPriority w:val="9"/>
    <w:semiHidden/>
    <w:rsid w:val="00DC6402"/>
    <w:rPr>
      <w:b/>
      <w:bCs/>
      <w:szCs w:val="32"/>
    </w:rPr>
  </w:style>
  <w:style w:type="character" w:customStyle="1" w:styleId="4Char">
    <w:name w:val="标题 4 Char"/>
    <w:basedOn w:val="a0"/>
    <w:link w:val="4"/>
    <w:uiPriority w:val="9"/>
    <w:semiHidden/>
    <w:rsid w:val="00DC6402"/>
    <w:rPr>
      <w:rFonts w:asciiTheme="majorHAnsi" w:hAnsiTheme="majorHAnsi" w:cstheme="majorBidi"/>
      <w:b/>
      <w:bCs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DC6402"/>
    <w:rPr>
      <w:b/>
      <w:bCs/>
      <w:szCs w:val="28"/>
    </w:rPr>
  </w:style>
  <w:style w:type="paragraph" w:styleId="a4">
    <w:name w:val="Normal (Web)"/>
    <w:basedOn w:val="a"/>
    <w:rsid w:val="00341B4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5">
    <w:name w:val="List Paragraph"/>
    <w:basedOn w:val="a"/>
    <w:uiPriority w:val="34"/>
    <w:qFormat/>
    <w:rsid w:val="00341B46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190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</dc:creator>
  <cp:keywords/>
  <dc:description/>
  <cp:lastModifiedBy>sun</cp:lastModifiedBy>
  <cp:revision>1</cp:revision>
  <dcterms:created xsi:type="dcterms:W3CDTF">2025-03-04T02:45:00Z</dcterms:created>
  <dcterms:modified xsi:type="dcterms:W3CDTF">2025-03-04T02:48:00Z</dcterms:modified>
</cp:coreProperties>
</file>